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МІНІСТЕРСТВО ОСВІТИ І НАУКИ УКРАЇНИ УМАНСЬКИЙ НАЦІОНАЛЬНИЙ УНІВЕРСИТЕТ САДІВНИЦТВА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Кафедра 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генетики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,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селекції рослин та біотехнології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«ЗАТВЕРДЖУЮ»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Гарант освітньої програми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________________________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оман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 Я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КОВЕНКО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ініціали</w:t>
      </w:r>
      <w:r>
        <w:rPr>
          <w:rFonts w:ascii="Times New Roman" w:hAnsi="Times New Roman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прізвище</w:t>
      </w:r>
      <w:r>
        <w:rPr>
          <w:rFonts w:ascii="Times New Roman" w:hAnsi="Times New Roman"/>
          <w:i w:val="1"/>
          <w:i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it-IT"/>
          <w14:textFill>
            <w14:solidFill>
              <w14:srgbClr w14:val="292929"/>
            </w14:solidFill>
          </w14:textFill>
        </w:rPr>
        <w:t>»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___________________202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РОБОЧА ПРОГРАМА НАВЧАЛЬНОЇ ДИСЦИПЛІНИ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СЕЛЕКЦІЯ ТА НАСІННИЦТВО ПЛОДОВО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ЯГІДНИХ І ОВОЧЕВИХ КУЛЬТУР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Освітній рівень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перший 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>бакалаврський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Галузь знань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20 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Аграрні науки та продовольство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Спеціальність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203 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«Садівництво та виноградарство»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Освітня програма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Садівництво та виноградарство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>Факультет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Плодоовочівництва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екології та захисту рослин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Умань –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р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Робоча програма навчальної дисципліни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Селекція та насінництво пловові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ягідних і овочевих культур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для здобувачів вищої освіти спеціальності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203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«Садівництво та виноградарство» освітньої програми 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Садівництво та виноградарство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Умань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Уманський НУС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,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26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>Розробник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канд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н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доцент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____________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Світлан КОЦЮБА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Робоча програма затверджена на засіданні кафедри генетики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селекції рослин та біотехнології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Протокол від «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3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1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» серпня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 року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№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1.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Завідувач кафедри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професор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доктор 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. ______________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Л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Рябовол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___________________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_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року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Схвалено науково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методичною комісією факультету плодоовочівництва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екології та захисту рослин</w:t>
        <w:br w:type="textWrapping"/>
        <w:t>Протокол від «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_________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_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року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№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 __.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Голова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 xml:space="preserve">__________________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А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ндрій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Т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ЕРНАВСЬКИЙ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:lang w:val="en-US"/>
          <w14:textFill>
            <w14:solidFill>
              <w14:srgbClr w14:val="292929"/>
            </w14:solidFill>
          </w14:textFill>
        </w:rPr>
        <w:t>___________________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ru-RU"/>
          <w14:textFill>
            <w14:solidFill>
              <w14:srgbClr w14:val="292929"/>
            </w14:solidFill>
          </w14:textFill>
        </w:rPr>
        <w:t xml:space="preserve"> року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bidi w:val="0"/>
        <w:spacing w:before="0" w:after="240" w:line="24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© УНУС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,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:lang w:val="de-DE"/>
          <w14:textFill>
            <w14:solidFill>
              <w14:srgbClr w14:val="292929"/>
            </w14:solidFill>
          </w14:textFill>
        </w:rPr>
        <w:t xml:space="preserve"> рік</w:t>
        <w:br w:type="textWrapping"/>
        <w:t xml:space="preserve">© 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Світлана КОЦЮБА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, 202</w:t>
      </w:r>
      <w:r>
        <w:rPr>
          <w:rFonts w:ascii="Times New Roman" w:hAnsi="Times New Roman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рік </w:t>
      </w:r>
    </w:p>
    <w:p>
      <w:pPr>
        <w:pStyle w:val="Стандартний"/>
        <w:bidi w:val="0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Зміни та доповнення до робочої програми у 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 р</w:t>
      </w:r>
      <w:r>
        <w:rPr>
          <w:rFonts w:ascii="Times New Roman" w:hAnsi="Times New Roman"/>
          <w:b w:val="1"/>
          <w:bCs w:val="1"/>
          <w:outline w:val="0"/>
          <w:color w:val="282828"/>
          <w:sz w:val="28"/>
          <w:szCs w:val="28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Селекційні сорти та їх класифікація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Вихідний матеріал»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додано питання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Натуралізація та акліматизація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Світова колекція рослин та її використання в селекції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Основи насінництва овочевих і баштанних культур» насінництво ягідних культур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У розділі «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Рекомендована література 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:lang w:val="ru-RU"/>
          <w14:textFill>
            <w14:solidFill>
              <w14:srgbClr w14:val="1D1B11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допоміжна»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додано матеріали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: 39-51. </w:t>
      </w:r>
    </w:p>
    <w:p>
      <w:pPr>
        <w:pStyle w:val="Стандартний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У розділі «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>Інформаційні ресурси» додано матеріали</w:t>
      </w:r>
      <w:r>
        <w:rPr>
          <w:rFonts w:ascii="Times New Roman" w:hAnsi="Times New Roman"/>
          <w:outline w:val="0"/>
          <w:color w:val="1d1a11"/>
          <w:sz w:val="28"/>
          <w:szCs w:val="28"/>
          <w:rtl w:val="0"/>
          <w14:textFill>
            <w14:solidFill>
              <w14:srgbClr w14:val="1D1B11"/>
            </w14:solidFill>
          </w14:textFill>
        </w:rPr>
        <w:t xml:space="preserve">: 12-14.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